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heading=h.vgus90jsk9uf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Прилог 9.3.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Однос броја уџбеника и монографија (заједно) чији су аутори ангажовани на основним академским студијама студијског програма Логопедија са бројем наставника на основним академским студијама студијског програма Логопедија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77"/>
        <w:gridCol w:w="2949"/>
        <w:gridCol w:w="3036"/>
        <w:tblGridChange w:id="0">
          <w:tblGrid>
            <w:gridCol w:w="3977"/>
            <w:gridCol w:w="2949"/>
            <w:gridCol w:w="3036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наставника ангажованих на основним академским студијама студијског програма Логопедија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објављених уџбеника и монографских публикација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уџбеника и монографских публикација по наставнику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3,41</w:t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1C530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1C530B"/>
    <w:rPr>
      <w:rFonts w:ascii="Segoe UI" w:cs="Segoe UI" w:hAnsi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D61EA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D61EA3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D61EA3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jCvYx6eyON9mYN/lHJb+tBxdUg==">CgMxLjAyDmgudmd1czkwanNrOXVmOAByITFHSi1VVlpmTG40Tzg3bngtOU91d2FjQjRLUXFqZnhwRg==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2025-06-09T08:05:00Z</dcterms:created>
  <dc:creator>Bojan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